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8B" w:rsidRDefault="007F2B28" w:rsidP="009204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b/>
          <w:color w:val="20231E"/>
          <w:sz w:val="18"/>
          <w:szCs w:val="18"/>
        </w:rPr>
        <w:t>ES322 Geom</w:t>
      </w:r>
      <w:r w:rsidR="00B92B9B" w:rsidRPr="00011D4E">
        <w:rPr>
          <w:rFonts w:ascii="TimesNewRomanPSMT" w:hAnsi="TimesNewRomanPSMT" w:cs="TimesNewRomanPSMT"/>
          <w:b/>
          <w:color w:val="20231E"/>
          <w:sz w:val="18"/>
          <w:szCs w:val="18"/>
        </w:rPr>
        <w:t>o</w:t>
      </w:r>
      <w:r>
        <w:rPr>
          <w:rFonts w:ascii="TimesNewRomanPSMT" w:hAnsi="TimesNewRomanPSMT" w:cs="TimesNewRomanPSMT"/>
          <w:b/>
          <w:color w:val="20231E"/>
          <w:sz w:val="18"/>
          <w:szCs w:val="18"/>
        </w:rPr>
        <w:t>r</w:t>
      </w:r>
      <w:r w:rsidR="00B92B9B" w:rsidRPr="00011D4E">
        <w:rPr>
          <w:rFonts w:ascii="TimesNewRomanPSMT" w:hAnsi="TimesNewRomanPSMT" w:cs="TimesNewRomanPSMT"/>
          <w:b/>
          <w:color w:val="20231E"/>
          <w:sz w:val="18"/>
          <w:szCs w:val="18"/>
        </w:rPr>
        <w:t xml:space="preserve">phology </w:t>
      </w:r>
      <w:r w:rsidR="00920418" w:rsidRPr="00011D4E">
        <w:rPr>
          <w:rFonts w:ascii="TimesNewRomanPSMT" w:hAnsi="TimesNewRomanPSMT" w:cs="TimesNewRomanPSMT"/>
          <w:b/>
          <w:color w:val="20231E"/>
          <w:sz w:val="18"/>
          <w:szCs w:val="18"/>
        </w:rPr>
        <w:t>Journal Article Review</w:t>
      </w:r>
      <w:r w:rsidR="00920418">
        <w:rPr>
          <w:rFonts w:ascii="TimesNewRomanPSMT" w:hAnsi="TimesNewRomanPSMT" w:cs="TimesNewRomanPSMT"/>
          <w:color w:val="20231E"/>
          <w:sz w:val="18"/>
          <w:szCs w:val="18"/>
        </w:rPr>
        <w:t xml:space="preserve"> – </w:t>
      </w:r>
      <w:proofErr w:type="spellStart"/>
      <w:r w:rsidR="00920418">
        <w:rPr>
          <w:rFonts w:ascii="TimesNewRomanPSMT" w:hAnsi="TimesNewRomanPSMT" w:cs="TimesNewRomanPSMT"/>
          <w:color w:val="20231E"/>
          <w:sz w:val="18"/>
          <w:szCs w:val="18"/>
        </w:rPr>
        <w:t>Roering</w:t>
      </w:r>
      <w:proofErr w:type="spellEnd"/>
      <w:r w:rsidR="00920418">
        <w:rPr>
          <w:rFonts w:ascii="TimesNewRomanPSMT" w:hAnsi="TimesNewRomanPSMT" w:cs="TimesNewRomanPSMT"/>
          <w:color w:val="20231E"/>
          <w:sz w:val="18"/>
          <w:szCs w:val="18"/>
        </w:rPr>
        <w:t xml:space="preserve"> et al., 2005, </w:t>
      </w:r>
      <w:proofErr w:type="gramStart"/>
      <w:r w:rsidR="00920418" w:rsidRPr="00920418">
        <w:rPr>
          <w:rFonts w:ascii="TimesNewRomanPSMT" w:hAnsi="TimesNewRomanPSMT" w:cs="TimesNewRomanPSMT"/>
          <w:color w:val="20231E"/>
          <w:sz w:val="18"/>
          <w:szCs w:val="18"/>
        </w:rPr>
        <w:t>Characterizing</w:t>
      </w:r>
      <w:proofErr w:type="gramEnd"/>
      <w:r w:rsidR="00920418" w:rsidRPr="00920418">
        <w:rPr>
          <w:rFonts w:ascii="TimesNewRomanPSMT" w:hAnsi="TimesNewRomanPSMT" w:cs="TimesNewRomanPSMT"/>
          <w:color w:val="20231E"/>
          <w:sz w:val="18"/>
          <w:szCs w:val="18"/>
        </w:rPr>
        <w:t xml:space="preserve"> structural and lithologic controls on deep-seated</w:t>
      </w:r>
      <w:r w:rsidR="00B92B9B">
        <w:rPr>
          <w:rFonts w:ascii="TimesNewRomanPSMT" w:hAnsi="TimesNewRomanPSMT" w:cs="TimesNewRomanPSMT"/>
          <w:color w:val="20231E"/>
          <w:sz w:val="18"/>
          <w:szCs w:val="18"/>
        </w:rPr>
        <w:t xml:space="preserve"> </w:t>
      </w:r>
      <w:proofErr w:type="spellStart"/>
      <w:r w:rsidR="00920418" w:rsidRPr="00920418">
        <w:rPr>
          <w:rFonts w:ascii="TimesNewRomanPSMT" w:hAnsi="TimesNewRomanPSMT" w:cs="TimesNewRomanPSMT"/>
          <w:color w:val="20231E"/>
          <w:sz w:val="18"/>
          <w:szCs w:val="18"/>
        </w:rPr>
        <w:t>landsliding</w:t>
      </w:r>
      <w:proofErr w:type="spellEnd"/>
      <w:r w:rsidR="00920418" w:rsidRPr="00920418">
        <w:rPr>
          <w:rFonts w:ascii="TimesNewRomanPSMT" w:hAnsi="TimesNewRomanPSMT" w:cs="TimesNewRomanPSMT"/>
          <w:color w:val="20231E"/>
          <w:sz w:val="18"/>
          <w:szCs w:val="18"/>
        </w:rPr>
        <w:t>: Implications fo</w:t>
      </w:r>
      <w:bookmarkStart w:id="0" w:name="_GoBack"/>
      <w:bookmarkEnd w:id="0"/>
      <w:r w:rsidR="00920418" w:rsidRPr="00920418">
        <w:rPr>
          <w:rFonts w:ascii="TimesNewRomanPSMT" w:hAnsi="TimesNewRomanPSMT" w:cs="TimesNewRomanPSMT"/>
          <w:color w:val="20231E"/>
          <w:sz w:val="18"/>
          <w:szCs w:val="18"/>
        </w:rPr>
        <w:t>r topographic relief and landscape evolution in</w:t>
      </w:r>
      <w:r w:rsidR="00920418">
        <w:rPr>
          <w:rFonts w:ascii="TimesNewRomanPSMT" w:hAnsi="TimesNewRomanPSMT" w:cs="TimesNewRomanPSMT"/>
          <w:color w:val="20231E"/>
          <w:sz w:val="18"/>
          <w:szCs w:val="18"/>
        </w:rPr>
        <w:t xml:space="preserve"> </w:t>
      </w:r>
      <w:r w:rsidR="00920418" w:rsidRPr="00920418">
        <w:rPr>
          <w:rFonts w:ascii="TimesNewRomanPSMT" w:hAnsi="TimesNewRomanPSMT" w:cs="TimesNewRomanPSMT"/>
          <w:color w:val="20231E"/>
          <w:sz w:val="18"/>
          <w:szCs w:val="18"/>
        </w:rPr>
        <w:t>the Oregon Coast Range, USA</w:t>
      </w:r>
    </w:p>
    <w:p w:rsidR="00920418" w:rsidRDefault="00920418" w:rsidP="009204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7733D0" w:rsidRPr="00B92B9B" w:rsidRDefault="000C3D8B" w:rsidP="000C3D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20231E"/>
          <w:sz w:val="18"/>
          <w:szCs w:val="18"/>
        </w:rPr>
      </w:pPr>
      <w:r w:rsidRPr="00B92B9B">
        <w:rPr>
          <w:rFonts w:ascii="TimesNewRomanPSMT" w:hAnsi="TimesNewRomanPSMT" w:cs="TimesNewRomanPSMT"/>
          <w:b/>
          <w:color w:val="20231E"/>
          <w:sz w:val="18"/>
          <w:szCs w:val="18"/>
        </w:rPr>
        <w:t>Reading Summary Questions</w:t>
      </w:r>
      <w:r w:rsidR="00C04B0B">
        <w:rPr>
          <w:rFonts w:ascii="TimesNewRomanPSMT" w:hAnsi="TimesNewRomanPSMT" w:cs="TimesNewRomanPSMT"/>
          <w:b/>
          <w:color w:val="20231E"/>
          <w:sz w:val="18"/>
          <w:szCs w:val="18"/>
        </w:rPr>
        <w:t xml:space="preserve"> - </w:t>
      </w:r>
      <w:r w:rsidR="007733D0" w:rsidRPr="00B92B9B">
        <w:rPr>
          <w:rFonts w:ascii="TimesNewRomanPSMT" w:hAnsi="TimesNewRomanPSMT" w:cs="TimesNewRomanPSMT"/>
          <w:b/>
          <w:color w:val="20231E"/>
          <w:sz w:val="18"/>
          <w:szCs w:val="18"/>
        </w:rPr>
        <w:t xml:space="preserve">Instructions.  Read the </w:t>
      </w:r>
      <w:proofErr w:type="spellStart"/>
      <w:r w:rsidR="007733D0" w:rsidRPr="00B92B9B">
        <w:rPr>
          <w:rFonts w:ascii="TimesNewRomanPSMT" w:hAnsi="TimesNewRomanPSMT" w:cs="TimesNewRomanPSMT"/>
          <w:b/>
          <w:color w:val="20231E"/>
          <w:sz w:val="18"/>
          <w:szCs w:val="18"/>
        </w:rPr>
        <w:t>Roering</w:t>
      </w:r>
      <w:proofErr w:type="spellEnd"/>
      <w:r w:rsidR="007733D0" w:rsidRPr="00B92B9B">
        <w:rPr>
          <w:rFonts w:ascii="TimesNewRomanPSMT" w:hAnsi="TimesNewRomanPSMT" w:cs="TimesNewRomanPSMT"/>
          <w:b/>
          <w:color w:val="20231E"/>
          <w:sz w:val="18"/>
          <w:szCs w:val="18"/>
        </w:rPr>
        <w:t xml:space="preserve"> et al., 2005 paper, and answer the following summary questions.  Questions are aligned with article organization from abstract to conclusion.</w:t>
      </w:r>
    </w:p>
    <w:p w:rsidR="007733D0" w:rsidRDefault="007733D0" w:rsidP="000C3D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7733D0" w:rsidRDefault="007733D0" w:rsidP="007733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 w:rsidRPr="007733D0">
        <w:rPr>
          <w:rFonts w:ascii="TimesNewRomanPSMT" w:hAnsi="TimesNewRomanPSMT" w:cs="TimesNewRomanPSMT"/>
          <w:color w:val="20231E"/>
          <w:sz w:val="18"/>
          <w:szCs w:val="18"/>
        </w:rPr>
        <w:t>Using internet resources: draw a sketch showing the differences between deep-seated rock-block landslides, and shallow-failure debris flow.  Write a brief description of each.</w:t>
      </w:r>
    </w:p>
    <w:p w:rsidR="007733D0" w:rsidRDefault="007733D0" w:rsidP="007733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7733D0" w:rsidRPr="00C04B0B" w:rsidRDefault="007733D0" w:rsidP="00C04B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>List the causal long-term and short-term factors that influence the occurrence of deep-seated landslides.</w:t>
      </w:r>
    </w:p>
    <w:p w:rsidR="007733D0" w:rsidRDefault="007733D0" w:rsidP="007733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7733D0" w:rsidRDefault="007733D0" w:rsidP="007733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Draw a sketch map showing the location of the Oregon Coast Range (OCR) and the occurrence of outcrop in the Eocene </w:t>
      </w:r>
      <w:proofErr w:type="spellStart"/>
      <w:r>
        <w:rPr>
          <w:rFonts w:ascii="TimesNewRomanPSMT" w:hAnsi="TimesNewRomanPSMT" w:cs="TimesNewRomanPSMT"/>
          <w:color w:val="20231E"/>
          <w:sz w:val="18"/>
          <w:szCs w:val="18"/>
        </w:rPr>
        <w:t>Tyee</w:t>
      </w:r>
      <w:proofErr w:type="spell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Formation that underlie the hillslopes.</w:t>
      </w:r>
    </w:p>
    <w:p w:rsidR="007733D0" w:rsidRDefault="007733D0" w:rsidP="007733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0C3D8B" w:rsidRDefault="007733D0" w:rsidP="000C3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True or </w:t>
      </w:r>
      <w:proofErr w:type="gramStart"/>
      <w:r>
        <w:rPr>
          <w:rFonts w:ascii="TimesNewRomanPSMT" w:hAnsi="TimesNewRomanPSMT" w:cs="TimesNewRomanPSMT"/>
          <w:color w:val="20231E"/>
          <w:sz w:val="18"/>
          <w:szCs w:val="18"/>
        </w:rPr>
        <w:t>False</w:t>
      </w:r>
      <w:proofErr w:type="gramEnd"/>
      <w:r>
        <w:rPr>
          <w:rFonts w:ascii="TimesNewRomanPSMT" w:hAnsi="TimesNewRomanPSMT" w:cs="TimesNewRomanPSMT"/>
          <w:color w:val="20231E"/>
          <w:sz w:val="18"/>
          <w:szCs w:val="18"/>
        </w:rPr>
        <w:t>: the OCR was subject to Pleistocene glaciation.  Explain your answer.</w:t>
      </w:r>
    </w:p>
    <w:p w:rsidR="00C04B0B" w:rsidRPr="00C04B0B" w:rsidRDefault="00C04B0B" w:rsidP="00C04B0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0C3D8B" w:rsidRPr="007733D0" w:rsidRDefault="007733D0" w:rsidP="007733D0">
      <w:pPr>
        <w:pStyle w:val="ListParagraph"/>
        <w:numPr>
          <w:ilvl w:val="0"/>
          <w:numId w:val="1"/>
        </w:numPr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True or </w:t>
      </w:r>
      <w:proofErr w:type="gramStart"/>
      <w:r>
        <w:rPr>
          <w:rFonts w:ascii="TimesNewRomanPSMT" w:hAnsi="TimesNewRomanPSMT" w:cs="TimesNewRomanPSMT"/>
          <w:color w:val="20231E"/>
          <w:sz w:val="18"/>
          <w:szCs w:val="18"/>
        </w:rPr>
        <w:t>False</w:t>
      </w:r>
      <w:proofErr w:type="gramEnd"/>
      <w:r>
        <w:rPr>
          <w:rFonts w:ascii="TimesNewRomanPSMT" w:hAnsi="TimesNewRomanPSMT" w:cs="TimesNewRomanPSMT"/>
          <w:color w:val="20231E"/>
          <w:sz w:val="18"/>
          <w:szCs w:val="18"/>
        </w:rPr>
        <w:t>: landslide-dam lakes are an uncommon occurrence in the central OCR, explain your answer.</w:t>
      </w:r>
    </w:p>
    <w:p w:rsidR="007733D0" w:rsidRDefault="007733D0" w:rsidP="007733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0C3D8B" w:rsidRPr="00C04B0B" w:rsidRDefault="007733D0" w:rsidP="000C3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List the three goals of the </w:t>
      </w:r>
      <w:proofErr w:type="spellStart"/>
      <w:r>
        <w:rPr>
          <w:rFonts w:ascii="TimesNewRomanPSMT" w:hAnsi="TimesNewRomanPSMT" w:cs="TimesNewRomanPSMT"/>
          <w:color w:val="20231E"/>
          <w:sz w:val="18"/>
          <w:szCs w:val="18"/>
        </w:rPr>
        <w:t>Roering</w:t>
      </w:r>
      <w:proofErr w:type="spell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et al., 2005 study.</w:t>
      </w:r>
    </w:p>
    <w:p w:rsidR="007733D0" w:rsidRDefault="007733D0" w:rsidP="007733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0C3D8B" w:rsidRPr="00C04B0B" w:rsidRDefault="00931126" w:rsidP="000C3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Describe the physiographic and geologic setting of the central OCR and the landscape that is underlain by outcrops of the </w:t>
      </w:r>
      <w:proofErr w:type="spellStart"/>
      <w:r>
        <w:rPr>
          <w:rFonts w:ascii="TimesNewRomanPSMT" w:hAnsi="TimesNewRomanPSMT" w:cs="TimesNewRomanPSMT"/>
          <w:color w:val="20231E"/>
          <w:sz w:val="18"/>
          <w:szCs w:val="18"/>
        </w:rPr>
        <w:t>Tyee</w:t>
      </w:r>
      <w:proofErr w:type="spell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Formation.</w:t>
      </w:r>
    </w:p>
    <w:p w:rsidR="006A1ECA" w:rsidRDefault="006A1ECA" w:rsidP="009311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6A1ECA" w:rsidRPr="006A1ECA" w:rsidRDefault="006A1ECA" w:rsidP="006A1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What is the age and depositional history / environment of the </w:t>
      </w:r>
      <w:proofErr w:type="spellStart"/>
      <w:r>
        <w:rPr>
          <w:rFonts w:ascii="TimesNewRomanPSMT" w:hAnsi="TimesNewRomanPSMT" w:cs="TimesNewRomanPSMT"/>
          <w:color w:val="20231E"/>
          <w:sz w:val="18"/>
          <w:szCs w:val="18"/>
        </w:rPr>
        <w:t>Tyee</w:t>
      </w:r>
      <w:proofErr w:type="spell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</w:t>
      </w:r>
      <w:proofErr w:type="gramStart"/>
      <w:r>
        <w:rPr>
          <w:rFonts w:ascii="TimesNewRomanPSMT" w:hAnsi="TimesNewRomanPSMT" w:cs="TimesNewRomanPSMT"/>
          <w:color w:val="20231E"/>
          <w:sz w:val="18"/>
          <w:szCs w:val="18"/>
        </w:rPr>
        <w:t>Formation.</w:t>
      </w:r>
      <w:proofErr w:type="gram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 Describe the changes in sedimentary rock composition (facies) from north to south in the OCR outcrop belt.</w:t>
      </w:r>
    </w:p>
    <w:p w:rsidR="000C3D8B" w:rsidRDefault="000C3D8B" w:rsidP="000C3D8B">
      <w:pPr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6A1ECA" w:rsidRPr="006A1ECA" w:rsidRDefault="006A1ECA" w:rsidP="006A1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What is the tectonic and deformational history of the </w:t>
      </w:r>
      <w:proofErr w:type="gramStart"/>
      <w:r>
        <w:rPr>
          <w:rFonts w:ascii="TimesNewRomanPSMT" w:hAnsi="TimesNewRomanPSMT" w:cs="TimesNewRomanPSMT"/>
          <w:color w:val="20231E"/>
          <w:sz w:val="18"/>
          <w:szCs w:val="18"/>
        </w:rPr>
        <w:t>OCR.</w:t>
      </w:r>
      <w:proofErr w:type="gram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 Cite the evidence that supports your answer.</w:t>
      </w:r>
    </w:p>
    <w:p w:rsidR="000C3D8B" w:rsidRDefault="000C3D8B" w:rsidP="000C3D8B">
      <w:pPr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6A1ECA" w:rsidRPr="006A1ECA" w:rsidRDefault="006A1ECA" w:rsidP="006A1ECA">
      <w:pPr>
        <w:pStyle w:val="ListParagraph"/>
        <w:numPr>
          <w:ilvl w:val="0"/>
          <w:numId w:val="1"/>
        </w:numPr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What are the ranges of rates of uplift in the OCR and coastal </w:t>
      </w:r>
      <w:proofErr w:type="gramStart"/>
      <w:r>
        <w:rPr>
          <w:rFonts w:ascii="TimesNewRomanPSMT" w:hAnsi="TimesNewRomanPSMT" w:cs="TimesNewRomanPSMT"/>
          <w:color w:val="20231E"/>
          <w:sz w:val="18"/>
          <w:szCs w:val="18"/>
        </w:rPr>
        <w:t>Oregon.</w:t>
      </w:r>
      <w:proofErr w:type="gram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 Cite your sources of evidence.</w:t>
      </w:r>
    </w:p>
    <w:p w:rsidR="006A1ECA" w:rsidRDefault="006A1ECA" w:rsidP="006A1E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6A1ECA" w:rsidRPr="006A1ECA" w:rsidRDefault="006A1ECA" w:rsidP="006A1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What are the measured short-term and long-term rates of erosion in the </w:t>
      </w:r>
      <w:proofErr w:type="gramStart"/>
      <w:r>
        <w:rPr>
          <w:rFonts w:ascii="TimesNewRomanPSMT" w:hAnsi="TimesNewRomanPSMT" w:cs="TimesNewRomanPSMT"/>
          <w:color w:val="20231E"/>
          <w:sz w:val="18"/>
          <w:szCs w:val="18"/>
        </w:rPr>
        <w:t>OCR.</w:t>
      </w:r>
      <w:proofErr w:type="gram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 Cite your sources of evidence.</w:t>
      </w:r>
    </w:p>
    <w:p w:rsidR="000C3D8B" w:rsidRDefault="000C3D8B" w:rsidP="000C3D8B">
      <w:pPr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6A1ECA" w:rsidRPr="00C04B0B" w:rsidRDefault="006A1ECA" w:rsidP="00C04B0B">
      <w:pPr>
        <w:pStyle w:val="ListParagraph"/>
        <w:numPr>
          <w:ilvl w:val="0"/>
          <w:numId w:val="1"/>
        </w:numPr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True </w:t>
      </w:r>
      <w:proofErr w:type="spellStart"/>
      <w:r>
        <w:rPr>
          <w:rFonts w:ascii="TimesNewRomanPSMT" w:hAnsi="TimesNewRomanPSMT" w:cs="TimesNewRomanPSMT"/>
          <w:color w:val="20231E"/>
          <w:sz w:val="18"/>
          <w:szCs w:val="18"/>
        </w:rPr>
        <w:t>of</w:t>
      </w:r>
      <w:proofErr w:type="spell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False: the rates of erosion greatly exceed the rate of uplift in the central OCR.  Explain your answer.</w:t>
      </w:r>
    </w:p>
    <w:p w:rsidR="006A1ECA" w:rsidRPr="006A1ECA" w:rsidRDefault="006A1ECA" w:rsidP="006A1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What is the range of time that deep-seated landslide features persist on the </w:t>
      </w:r>
      <w:proofErr w:type="gramStart"/>
      <w:r>
        <w:rPr>
          <w:rFonts w:ascii="TimesNewRomanPSMT" w:hAnsi="TimesNewRomanPSMT" w:cs="TimesNewRomanPSMT"/>
          <w:color w:val="20231E"/>
          <w:sz w:val="18"/>
          <w:szCs w:val="18"/>
        </w:rPr>
        <w:t>landscape.</w:t>
      </w:r>
      <w:proofErr w:type="gram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 How does this compare with shallow debris-flow features?</w:t>
      </w:r>
    </w:p>
    <w:p w:rsidR="000C3D8B" w:rsidRDefault="000C3D8B" w:rsidP="000C3D8B">
      <w:pPr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6A1ECA" w:rsidRPr="006A1ECA" w:rsidRDefault="006A1ECA" w:rsidP="006A1ECA">
      <w:pPr>
        <w:pStyle w:val="ListParagraph"/>
        <w:numPr>
          <w:ilvl w:val="0"/>
          <w:numId w:val="1"/>
        </w:numPr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>What does radiocarbon age dating indicated about the timing of landslide events in the central Oregon Coast Range?</w:t>
      </w:r>
    </w:p>
    <w:p w:rsidR="006A1ECA" w:rsidRDefault="006A1ECA" w:rsidP="006A1E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0C3D8B" w:rsidRDefault="006A1ECA" w:rsidP="000C3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List the data sources that were used by the authors to analyze the distribution and occurrence of landslide features </w:t>
      </w:r>
      <w:proofErr w:type="gramStart"/>
      <w:r>
        <w:rPr>
          <w:rFonts w:ascii="TimesNewRomanPSMT" w:hAnsi="TimesNewRomanPSMT" w:cs="TimesNewRomanPSMT"/>
          <w:color w:val="20231E"/>
          <w:sz w:val="18"/>
          <w:szCs w:val="18"/>
        </w:rPr>
        <w:t>in  the</w:t>
      </w:r>
      <w:proofErr w:type="gram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OCR.</w:t>
      </w:r>
    </w:p>
    <w:p w:rsidR="006A1ECA" w:rsidRPr="006A1ECA" w:rsidRDefault="006A1ECA" w:rsidP="006A1EC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0C3D8B" w:rsidRPr="00C04B0B" w:rsidRDefault="006A1ECA" w:rsidP="00C04B0B">
      <w:pPr>
        <w:pStyle w:val="ListParagraph"/>
        <w:numPr>
          <w:ilvl w:val="0"/>
          <w:numId w:val="1"/>
        </w:numPr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>What effects to igneous intrusive rocks have on landscape resistance to erosion and relief in the OCR?</w:t>
      </w:r>
    </w:p>
    <w:p w:rsidR="006A1ECA" w:rsidRDefault="006A1ECA" w:rsidP="006A1E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6A1ECA" w:rsidRPr="006A1ECA" w:rsidRDefault="006A1ECA" w:rsidP="006A1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>Using 3 to 4 sentences, briefly describe the methodology and analysis used by the authors to conduct their study.</w:t>
      </w:r>
    </w:p>
    <w:p w:rsidR="000C3D8B" w:rsidRDefault="000C3D8B" w:rsidP="000C3D8B">
      <w:pPr>
        <w:rPr>
          <w:rFonts w:ascii="TimesNewRomanPSMT" w:hAnsi="TimesNewRomanPSMT" w:cs="TimesNewRomanPSMT"/>
          <w:color w:val="20231E"/>
          <w:sz w:val="18"/>
          <w:szCs w:val="18"/>
        </w:rPr>
      </w:pPr>
    </w:p>
    <w:p w:rsidR="00C04B0B" w:rsidRPr="00C04B0B" w:rsidRDefault="009038BA" w:rsidP="00C04B0B">
      <w:pPr>
        <w:pStyle w:val="ListParagraph"/>
        <w:numPr>
          <w:ilvl w:val="0"/>
          <w:numId w:val="1"/>
        </w:numPr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Describe the results of the analysis in the context of landslide occurrence and character, in the northern vs. southern </w:t>
      </w:r>
      <w:proofErr w:type="spellStart"/>
      <w:r>
        <w:rPr>
          <w:rFonts w:ascii="TimesNewRomanPSMT" w:hAnsi="TimesNewRomanPSMT" w:cs="TimesNewRomanPSMT"/>
          <w:color w:val="20231E"/>
          <w:sz w:val="18"/>
          <w:szCs w:val="18"/>
        </w:rPr>
        <w:t>Tyee</w:t>
      </w:r>
      <w:proofErr w:type="spellEnd"/>
      <w:r>
        <w:rPr>
          <w:rFonts w:ascii="TimesNewRomanPSMT" w:hAnsi="TimesNewRomanPSMT" w:cs="TimesNewRomanPSMT"/>
          <w:color w:val="20231E"/>
          <w:sz w:val="18"/>
          <w:szCs w:val="18"/>
        </w:rPr>
        <w:t xml:space="preserve"> outcrop belt in the OCR.  What are the primary geologic / bedrock factors that appear to control the distributions of landslides in the </w:t>
      </w:r>
      <w:proofErr w:type="gramStart"/>
      <w:r>
        <w:rPr>
          <w:rFonts w:ascii="TimesNewRomanPSMT" w:hAnsi="TimesNewRomanPSMT" w:cs="TimesNewRomanPSMT"/>
          <w:color w:val="20231E"/>
          <w:sz w:val="18"/>
          <w:szCs w:val="18"/>
        </w:rPr>
        <w:t>region.</w:t>
      </w:r>
      <w:proofErr w:type="gramEnd"/>
    </w:p>
    <w:p w:rsidR="000C3D8B" w:rsidRPr="00C04B0B" w:rsidRDefault="00B92B9B" w:rsidP="000C3D8B">
      <w:pPr>
        <w:pStyle w:val="ListParagraph"/>
        <w:numPr>
          <w:ilvl w:val="0"/>
          <w:numId w:val="1"/>
        </w:numPr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>Describe how fold deformation of strata and dip angle influences the occurrence of deep-seated landslides in the OCR.</w:t>
      </w:r>
    </w:p>
    <w:p w:rsidR="00B92B9B" w:rsidRPr="00C04B0B" w:rsidRDefault="00B92B9B" w:rsidP="00C04B0B">
      <w:pPr>
        <w:pStyle w:val="ListParagraph"/>
        <w:numPr>
          <w:ilvl w:val="0"/>
          <w:numId w:val="1"/>
        </w:numPr>
        <w:rPr>
          <w:rFonts w:ascii="TimesNewRomanPSMT" w:hAnsi="TimesNewRomanPSMT" w:cs="TimesNewRomanPSMT"/>
          <w:color w:val="20231E"/>
          <w:sz w:val="18"/>
          <w:szCs w:val="18"/>
        </w:rPr>
      </w:pPr>
      <w:r>
        <w:rPr>
          <w:rFonts w:ascii="TimesNewRomanPSMT" w:hAnsi="TimesNewRomanPSMT" w:cs="TimesNewRomanPSMT"/>
          <w:color w:val="20231E"/>
          <w:sz w:val="18"/>
          <w:szCs w:val="18"/>
        </w:rPr>
        <w:t>Discuss the potential significance of rainfall patterns and seismicity in controlling landslide occurrence in the OCR&gt;</w:t>
      </w:r>
    </w:p>
    <w:p w:rsidR="000C3D8B" w:rsidRDefault="00B92B9B" w:rsidP="000C3D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04B0B">
        <w:rPr>
          <w:rFonts w:ascii="TimesNewRomanPSMT" w:hAnsi="TimesNewRomanPSMT" w:cs="TimesNewRomanPSMT"/>
          <w:color w:val="20231E"/>
          <w:sz w:val="18"/>
          <w:szCs w:val="18"/>
        </w:rPr>
        <w:t xml:space="preserve">Using key figures provided in the article, draw a sketch from north to south in the OCR </w:t>
      </w:r>
      <w:proofErr w:type="spellStart"/>
      <w:r w:rsidRPr="00C04B0B">
        <w:rPr>
          <w:rFonts w:ascii="TimesNewRomanPSMT" w:hAnsi="TimesNewRomanPSMT" w:cs="TimesNewRomanPSMT"/>
          <w:color w:val="20231E"/>
          <w:sz w:val="18"/>
          <w:szCs w:val="18"/>
        </w:rPr>
        <w:t>Tyee</w:t>
      </w:r>
      <w:proofErr w:type="spellEnd"/>
      <w:r w:rsidRPr="00C04B0B">
        <w:rPr>
          <w:rFonts w:ascii="TimesNewRomanPSMT" w:hAnsi="TimesNewRomanPSMT" w:cs="TimesNewRomanPSMT"/>
          <w:color w:val="20231E"/>
          <w:sz w:val="18"/>
          <w:szCs w:val="18"/>
        </w:rPr>
        <w:t xml:space="preserve"> Formation outcrop belt, illustrating the effects of bedrock composition and </w:t>
      </w:r>
      <w:proofErr w:type="spellStart"/>
      <w:r w:rsidRPr="00C04B0B">
        <w:rPr>
          <w:rFonts w:ascii="TimesNewRomanPSMT" w:hAnsi="TimesNewRomanPSMT" w:cs="TimesNewRomanPSMT"/>
          <w:color w:val="20231E"/>
          <w:sz w:val="18"/>
          <w:szCs w:val="18"/>
        </w:rPr>
        <w:t>lithofacies</w:t>
      </w:r>
      <w:proofErr w:type="spellEnd"/>
      <w:r w:rsidRPr="00C04B0B">
        <w:rPr>
          <w:rFonts w:ascii="TimesNewRomanPSMT" w:hAnsi="TimesNewRomanPSMT" w:cs="TimesNewRomanPSMT"/>
          <w:color w:val="20231E"/>
          <w:sz w:val="18"/>
          <w:szCs w:val="18"/>
        </w:rPr>
        <w:t>, on the style and occurrence of landslides in the Coast Range.  Label your drawing and provide a brief explanation.</w:t>
      </w:r>
    </w:p>
    <w:p w:rsidR="000C3D8B" w:rsidRDefault="000C3D8B" w:rsidP="000C3D8B">
      <w:pPr>
        <w:rPr>
          <w:rFonts w:ascii="TimesNewRomanPSMT" w:hAnsi="TimesNewRomanPSMT" w:cs="TimesNewRomanPSMT"/>
          <w:color w:val="20231E"/>
          <w:sz w:val="18"/>
          <w:szCs w:val="18"/>
        </w:rPr>
      </w:pPr>
    </w:p>
    <w:sectPr w:rsidR="000C3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60949"/>
    <w:multiLevelType w:val="hybridMultilevel"/>
    <w:tmpl w:val="42447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8B"/>
    <w:rsid w:val="00011D4E"/>
    <w:rsid w:val="000C3D8B"/>
    <w:rsid w:val="006A1ECA"/>
    <w:rsid w:val="007733D0"/>
    <w:rsid w:val="007F2B28"/>
    <w:rsid w:val="009038BA"/>
    <w:rsid w:val="00920418"/>
    <w:rsid w:val="00931126"/>
    <w:rsid w:val="00965937"/>
    <w:rsid w:val="00B92B9B"/>
    <w:rsid w:val="00C04B0B"/>
    <w:rsid w:val="00D2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0C34C-F8A0-4E23-BB56-B06D89BB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3</cp:revision>
  <dcterms:created xsi:type="dcterms:W3CDTF">2018-11-06T01:18:00Z</dcterms:created>
  <dcterms:modified xsi:type="dcterms:W3CDTF">2018-11-06T01:18:00Z</dcterms:modified>
</cp:coreProperties>
</file>